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5F" w:rsidRDefault="00BE555F" w:rsidP="00BE555F">
      <w:r w:rsidRPr="008662B0">
        <w:rPr>
          <w:noProof/>
          <w:lang w:eastAsia="es-CL"/>
        </w:rPr>
        <w:drawing>
          <wp:inline distT="0" distB="0" distL="0" distR="0" wp14:anchorId="7D5EEC8D" wp14:editId="3DA5E7EA">
            <wp:extent cx="1070343" cy="352425"/>
            <wp:effectExtent l="0" t="0" r="0" b="0"/>
            <wp:docPr id="1" name="Imagen 1" descr="D:\Temp\Archivos temporales de Internet\Content.Outlook\TF9BSYL7\logo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Archivos temporales de Internet\Content.Outlook\TF9BSYL7\logoS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172" cy="366198"/>
                    </a:xfrm>
                    <a:prstGeom prst="rect">
                      <a:avLst/>
                    </a:prstGeom>
                    <a:noFill/>
                    <a:ln>
                      <a:noFill/>
                    </a:ln>
                  </pic:spPr>
                </pic:pic>
              </a:graphicData>
            </a:graphic>
          </wp:inline>
        </w:drawing>
      </w:r>
    </w:p>
    <w:p w:rsidR="00BE555F" w:rsidRDefault="00BE555F" w:rsidP="00BE555F">
      <w:pPr>
        <w:jc w:val="both"/>
        <w:rPr>
          <w:rFonts w:ascii="Verdana" w:hAnsi="Verdana" w:cs="Arial"/>
          <w:bCs/>
          <w:color w:val="000000"/>
          <w:sz w:val="20"/>
          <w:szCs w:val="20"/>
          <w:lang w:eastAsia="es-CL"/>
        </w:rPr>
      </w:pPr>
    </w:p>
    <w:p w:rsidR="00BE555F" w:rsidRPr="000725FB" w:rsidRDefault="003620C0" w:rsidP="00BE555F">
      <w:pPr>
        <w:jc w:val="both"/>
        <w:rPr>
          <w:rFonts w:ascii="Verdana" w:hAnsi="Verdana" w:cs="Arial"/>
          <w:b/>
          <w:bCs/>
          <w:color w:val="000000"/>
          <w:sz w:val="18"/>
          <w:szCs w:val="18"/>
          <w:u w:val="single"/>
          <w:lang w:eastAsia="es-CL"/>
        </w:rPr>
      </w:pPr>
      <w:r w:rsidRPr="000725FB">
        <w:rPr>
          <w:rFonts w:ascii="Verdana" w:hAnsi="Verdana" w:cs="Arial"/>
          <w:b/>
          <w:bCs/>
          <w:color w:val="000000"/>
          <w:sz w:val="18"/>
          <w:szCs w:val="18"/>
          <w:u w:val="single"/>
          <w:lang w:eastAsia="es-CL"/>
        </w:rPr>
        <w:t xml:space="preserve">Luego de acucioso análisis </w:t>
      </w:r>
      <w:r w:rsidR="00835DEB" w:rsidRPr="000725FB">
        <w:rPr>
          <w:rFonts w:ascii="Verdana" w:hAnsi="Verdana" w:cs="Arial"/>
          <w:b/>
          <w:bCs/>
          <w:color w:val="000000"/>
          <w:sz w:val="18"/>
          <w:szCs w:val="18"/>
          <w:u w:val="single"/>
          <w:lang w:eastAsia="es-CL"/>
        </w:rPr>
        <w:t>normativo, jurídico y de fiscalización:</w:t>
      </w:r>
    </w:p>
    <w:p w:rsidR="00BE555F" w:rsidRDefault="00BE555F" w:rsidP="00BE555F">
      <w:pPr>
        <w:jc w:val="both"/>
        <w:rPr>
          <w:rFonts w:ascii="Verdana" w:hAnsi="Verdana" w:cs="Arial"/>
          <w:b/>
          <w:bCs/>
          <w:color w:val="000000"/>
          <w:sz w:val="30"/>
          <w:szCs w:val="30"/>
          <w:lang w:eastAsia="es-CL"/>
        </w:rPr>
      </w:pPr>
      <w:r w:rsidRPr="000A69F4">
        <w:rPr>
          <w:rFonts w:ascii="Verdana" w:hAnsi="Verdana" w:cs="Arial"/>
          <w:b/>
          <w:bCs/>
          <w:color w:val="000000"/>
          <w:sz w:val="30"/>
          <w:szCs w:val="30"/>
          <w:lang w:eastAsia="es-CL"/>
        </w:rPr>
        <w:t xml:space="preserve">SII </w:t>
      </w:r>
      <w:r w:rsidR="00F025EC">
        <w:rPr>
          <w:rFonts w:ascii="Verdana" w:hAnsi="Verdana" w:cs="Arial"/>
          <w:b/>
          <w:bCs/>
          <w:color w:val="000000"/>
          <w:sz w:val="30"/>
          <w:szCs w:val="30"/>
          <w:lang w:eastAsia="es-CL"/>
        </w:rPr>
        <w:t xml:space="preserve">mantiene criterio histórico y </w:t>
      </w:r>
      <w:r w:rsidR="002434BF">
        <w:rPr>
          <w:rFonts w:ascii="Verdana" w:hAnsi="Verdana" w:cs="Arial"/>
          <w:b/>
          <w:bCs/>
          <w:color w:val="000000"/>
          <w:sz w:val="30"/>
          <w:szCs w:val="30"/>
          <w:lang w:eastAsia="es-CL"/>
        </w:rPr>
        <w:t xml:space="preserve">ratifica que costas </w:t>
      </w:r>
      <w:r w:rsidR="003408B5">
        <w:rPr>
          <w:rFonts w:ascii="Verdana" w:hAnsi="Verdana" w:cs="Arial"/>
          <w:b/>
          <w:bCs/>
          <w:color w:val="000000"/>
          <w:sz w:val="30"/>
          <w:szCs w:val="30"/>
          <w:lang w:eastAsia="es-CL"/>
        </w:rPr>
        <w:t xml:space="preserve">por juicios contra </w:t>
      </w:r>
      <w:r w:rsidR="002434BF">
        <w:rPr>
          <w:rFonts w:ascii="Verdana" w:hAnsi="Verdana" w:cs="Arial"/>
          <w:b/>
          <w:bCs/>
          <w:color w:val="000000"/>
          <w:sz w:val="30"/>
          <w:szCs w:val="30"/>
          <w:lang w:eastAsia="es-CL"/>
        </w:rPr>
        <w:t xml:space="preserve">Isapres son gastos rechazados </w:t>
      </w:r>
    </w:p>
    <w:p w:rsidR="002434BF" w:rsidRDefault="002434BF" w:rsidP="00BE555F">
      <w:pPr>
        <w:jc w:val="both"/>
        <w:rPr>
          <w:rFonts w:ascii="Verdana" w:hAnsi="Verdana" w:cs="Arial"/>
          <w:color w:val="000000"/>
          <w:sz w:val="20"/>
          <w:szCs w:val="20"/>
          <w:lang w:eastAsia="es-CL"/>
        </w:rPr>
      </w:pPr>
    </w:p>
    <w:p w:rsidR="002434BF" w:rsidRPr="002434BF" w:rsidRDefault="003408B5" w:rsidP="00BE555F">
      <w:pPr>
        <w:pStyle w:val="Prrafodelista"/>
        <w:numPr>
          <w:ilvl w:val="0"/>
          <w:numId w:val="1"/>
        </w:numPr>
        <w:autoSpaceDE w:val="0"/>
        <w:autoSpaceDN w:val="0"/>
        <w:adjustRightInd w:val="0"/>
        <w:jc w:val="both"/>
        <w:rPr>
          <w:rFonts w:ascii="Verdana" w:hAnsi="Verdana"/>
          <w:b/>
          <w:i/>
          <w:sz w:val="20"/>
        </w:rPr>
      </w:pPr>
      <w:r>
        <w:rPr>
          <w:rFonts w:ascii="Verdana" w:hAnsi="Verdana"/>
          <w:b/>
          <w:i/>
          <w:sz w:val="18"/>
          <w:szCs w:val="18"/>
        </w:rPr>
        <w:t>D</w:t>
      </w:r>
      <w:r w:rsidR="002434BF" w:rsidRPr="002434BF">
        <w:rPr>
          <w:rFonts w:ascii="Verdana" w:hAnsi="Verdana"/>
          <w:b/>
          <w:i/>
          <w:sz w:val="18"/>
          <w:szCs w:val="18"/>
        </w:rPr>
        <w:t>eterminó que costas personales por juicios de cotizantes en contra de Isapres por aumentos unilaterales de los planes de salud no constituyen gastos necesarios para producir la renta</w:t>
      </w:r>
      <w:r>
        <w:rPr>
          <w:rFonts w:ascii="Verdana" w:hAnsi="Verdana"/>
          <w:b/>
          <w:i/>
          <w:sz w:val="18"/>
          <w:szCs w:val="18"/>
        </w:rPr>
        <w:t>.</w:t>
      </w:r>
    </w:p>
    <w:p w:rsidR="00BE555F" w:rsidRDefault="00BE555F" w:rsidP="00BE555F">
      <w:pPr>
        <w:pBdr>
          <w:bottom w:val="single" w:sz="4" w:space="1" w:color="auto"/>
        </w:pBdr>
      </w:pPr>
    </w:p>
    <w:p w:rsidR="00BE555F" w:rsidRDefault="00BE555F" w:rsidP="00BE555F"/>
    <w:p w:rsidR="00407036" w:rsidRPr="00407036" w:rsidRDefault="00407036" w:rsidP="00407036">
      <w:pPr>
        <w:jc w:val="both"/>
        <w:rPr>
          <w:rFonts w:ascii="Verdana" w:hAnsi="Verdana"/>
          <w:sz w:val="18"/>
          <w:szCs w:val="18"/>
        </w:rPr>
      </w:pPr>
      <w:r w:rsidRPr="00407036">
        <w:rPr>
          <w:rFonts w:ascii="Verdana" w:hAnsi="Verdana"/>
          <w:sz w:val="18"/>
          <w:szCs w:val="18"/>
        </w:rPr>
        <w:t xml:space="preserve">SII </w:t>
      </w:r>
      <w:r w:rsidR="006119B8">
        <w:rPr>
          <w:rFonts w:ascii="Verdana" w:hAnsi="Verdana"/>
          <w:sz w:val="18"/>
          <w:szCs w:val="18"/>
        </w:rPr>
        <w:t>confirmó</w:t>
      </w:r>
      <w:r w:rsidRPr="00407036">
        <w:rPr>
          <w:rFonts w:ascii="Verdana" w:hAnsi="Verdana"/>
          <w:sz w:val="18"/>
          <w:szCs w:val="18"/>
        </w:rPr>
        <w:t xml:space="preserve"> que </w:t>
      </w:r>
      <w:r w:rsidR="003408B5">
        <w:rPr>
          <w:rFonts w:ascii="Verdana" w:hAnsi="Verdana"/>
          <w:sz w:val="18"/>
          <w:szCs w:val="18"/>
        </w:rPr>
        <w:t xml:space="preserve">las </w:t>
      </w:r>
      <w:r w:rsidRPr="00407036">
        <w:rPr>
          <w:rFonts w:ascii="Verdana" w:hAnsi="Verdana"/>
          <w:sz w:val="18"/>
          <w:szCs w:val="18"/>
        </w:rPr>
        <w:t xml:space="preserve">costas personales </w:t>
      </w:r>
      <w:r w:rsidR="003408B5">
        <w:rPr>
          <w:rFonts w:ascii="Verdana" w:hAnsi="Verdana"/>
          <w:sz w:val="18"/>
          <w:szCs w:val="18"/>
        </w:rPr>
        <w:t xml:space="preserve">originadas en los </w:t>
      </w:r>
      <w:r w:rsidRPr="00407036">
        <w:rPr>
          <w:rFonts w:ascii="Verdana" w:hAnsi="Verdana"/>
          <w:sz w:val="18"/>
          <w:szCs w:val="18"/>
        </w:rPr>
        <w:t xml:space="preserve">juicios de cotizantes en contra de </w:t>
      </w:r>
      <w:r w:rsidR="00944CBD">
        <w:rPr>
          <w:rFonts w:ascii="Verdana" w:hAnsi="Verdana"/>
          <w:sz w:val="18"/>
          <w:szCs w:val="18"/>
        </w:rPr>
        <w:t xml:space="preserve">las </w:t>
      </w:r>
      <w:r w:rsidRPr="00407036">
        <w:rPr>
          <w:rFonts w:ascii="Verdana" w:hAnsi="Verdana"/>
          <w:sz w:val="18"/>
          <w:szCs w:val="18"/>
        </w:rPr>
        <w:t xml:space="preserve">Isapres por aumentos unilaterales de los planes de salud no constituyen gastos necesarios para producir la renta en conformidad con el artículo 31 de la LIR, razón por la cual mantuvo su criterio en cuanto a considerarlo un gasto rechazado, </w:t>
      </w:r>
      <w:r w:rsidR="00944CBD">
        <w:rPr>
          <w:rFonts w:ascii="Verdana" w:hAnsi="Verdana"/>
          <w:sz w:val="18"/>
          <w:szCs w:val="18"/>
        </w:rPr>
        <w:t xml:space="preserve">y estableció que </w:t>
      </w:r>
      <w:r w:rsidRPr="00407036">
        <w:rPr>
          <w:rFonts w:ascii="Verdana" w:hAnsi="Verdana"/>
          <w:sz w:val="18"/>
          <w:szCs w:val="18"/>
        </w:rPr>
        <w:t>las I</w:t>
      </w:r>
      <w:r w:rsidR="00944CBD">
        <w:rPr>
          <w:rFonts w:ascii="Verdana" w:hAnsi="Verdana"/>
          <w:sz w:val="18"/>
          <w:szCs w:val="18"/>
        </w:rPr>
        <w:t xml:space="preserve">nstituciones de Salud Previsional </w:t>
      </w:r>
      <w:r w:rsidRPr="00407036">
        <w:rPr>
          <w:rFonts w:ascii="Verdana" w:hAnsi="Verdana"/>
          <w:sz w:val="18"/>
          <w:szCs w:val="18"/>
        </w:rPr>
        <w:t>deberán cumplir con el impuesto especial que establece el artículo 21 de la misma norma, que impone un impuesto del 35% sobre el monto de los gastos donde se incluyen tales costas.</w:t>
      </w:r>
    </w:p>
    <w:p w:rsidR="00407036" w:rsidRPr="00407036" w:rsidRDefault="00407036" w:rsidP="00407036">
      <w:pPr>
        <w:jc w:val="both"/>
        <w:rPr>
          <w:rFonts w:ascii="Verdana" w:hAnsi="Verdana"/>
          <w:sz w:val="18"/>
          <w:szCs w:val="18"/>
        </w:rPr>
      </w:pPr>
    </w:p>
    <w:p w:rsidR="00407036" w:rsidRDefault="00407036" w:rsidP="00664958">
      <w:pPr>
        <w:jc w:val="both"/>
        <w:rPr>
          <w:rFonts w:ascii="Verdana" w:hAnsi="Verdana"/>
          <w:sz w:val="18"/>
          <w:szCs w:val="18"/>
        </w:rPr>
      </w:pPr>
      <w:r w:rsidRPr="00407036">
        <w:rPr>
          <w:rFonts w:ascii="Verdana" w:hAnsi="Verdana"/>
          <w:sz w:val="18"/>
          <w:szCs w:val="18"/>
        </w:rPr>
        <w:t xml:space="preserve">La decisión anterior está siendo comunicada oficialmente a las </w:t>
      </w:r>
      <w:r w:rsidR="00CF2B65">
        <w:rPr>
          <w:rFonts w:ascii="Verdana" w:hAnsi="Verdana"/>
          <w:sz w:val="18"/>
          <w:szCs w:val="18"/>
        </w:rPr>
        <w:t xml:space="preserve">instituciones </w:t>
      </w:r>
      <w:r w:rsidRPr="00407036">
        <w:rPr>
          <w:rFonts w:ascii="Verdana" w:hAnsi="Verdana"/>
          <w:sz w:val="18"/>
          <w:szCs w:val="18"/>
        </w:rPr>
        <w:t xml:space="preserve">de Salud </w:t>
      </w:r>
      <w:r w:rsidR="00CF2B65">
        <w:rPr>
          <w:rFonts w:ascii="Verdana" w:hAnsi="Verdana"/>
          <w:sz w:val="18"/>
          <w:szCs w:val="18"/>
        </w:rPr>
        <w:t xml:space="preserve">Previsional </w:t>
      </w:r>
      <w:r w:rsidRPr="00407036">
        <w:rPr>
          <w:rFonts w:ascii="Verdana" w:hAnsi="Verdana"/>
          <w:sz w:val="18"/>
          <w:szCs w:val="18"/>
        </w:rPr>
        <w:t>por la Dirección de Grandes Contribuyentes, a través de las liquidaciones respectivas que consideran los años tributarios 2013</w:t>
      </w:r>
      <w:r w:rsidR="002B656F">
        <w:rPr>
          <w:rFonts w:ascii="Verdana" w:hAnsi="Verdana"/>
          <w:sz w:val="18"/>
          <w:szCs w:val="18"/>
        </w:rPr>
        <w:t xml:space="preserve">, </w:t>
      </w:r>
      <w:r w:rsidRPr="00407036">
        <w:rPr>
          <w:rFonts w:ascii="Verdana" w:hAnsi="Verdana"/>
          <w:sz w:val="18"/>
          <w:szCs w:val="18"/>
        </w:rPr>
        <w:t>2014 y 2015.</w:t>
      </w:r>
    </w:p>
    <w:p w:rsidR="00CF2B65" w:rsidRPr="00407036" w:rsidRDefault="00CF2B65" w:rsidP="00407036">
      <w:pPr>
        <w:jc w:val="both"/>
        <w:rPr>
          <w:rFonts w:ascii="Verdana" w:hAnsi="Verdana"/>
          <w:sz w:val="18"/>
          <w:szCs w:val="18"/>
        </w:rPr>
      </w:pPr>
    </w:p>
    <w:p w:rsidR="00407036" w:rsidRPr="00407036" w:rsidRDefault="00407036" w:rsidP="00407036">
      <w:pPr>
        <w:jc w:val="both"/>
        <w:rPr>
          <w:rFonts w:ascii="Verdana" w:hAnsi="Verdana"/>
          <w:sz w:val="18"/>
          <w:szCs w:val="18"/>
        </w:rPr>
      </w:pPr>
      <w:r w:rsidRPr="00407036">
        <w:rPr>
          <w:rFonts w:ascii="Verdana" w:hAnsi="Verdana"/>
          <w:sz w:val="18"/>
          <w:szCs w:val="18"/>
        </w:rPr>
        <w:t xml:space="preserve">El SII aclaró que las sumas liquidadas </w:t>
      </w:r>
      <w:r w:rsidR="00A9662D">
        <w:rPr>
          <w:rFonts w:ascii="Verdana" w:hAnsi="Verdana"/>
          <w:sz w:val="18"/>
          <w:szCs w:val="18"/>
        </w:rPr>
        <w:t xml:space="preserve">por concepto de impuestos </w:t>
      </w:r>
      <w:r w:rsidRPr="00407036">
        <w:rPr>
          <w:rFonts w:ascii="Verdana" w:hAnsi="Verdana"/>
          <w:sz w:val="18"/>
          <w:szCs w:val="18"/>
        </w:rPr>
        <w:t xml:space="preserve">al conjunto de las </w:t>
      </w:r>
      <w:r w:rsidR="00937BB3">
        <w:rPr>
          <w:rFonts w:ascii="Verdana" w:hAnsi="Verdana"/>
          <w:sz w:val="18"/>
          <w:szCs w:val="18"/>
        </w:rPr>
        <w:t xml:space="preserve">siete </w:t>
      </w:r>
      <w:r w:rsidRPr="00407036">
        <w:rPr>
          <w:rFonts w:ascii="Verdana" w:hAnsi="Verdana"/>
          <w:sz w:val="18"/>
          <w:szCs w:val="18"/>
        </w:rPr>
        <w:t>empresas del sistema fiscaliza</w:t>
      </w:r>
      <w:r w:rsidR="00A9662D">
        <w:rPr>
          <w:rFonts w:ascii="Verdana" w:hAnsi="Verdana"/>
          <w:sz w:val="18"/>
          <w:szCs w:val="18"/>
        </w:rPr>
        <w:t>das ascienden a $6.571 millones, las que sumados los reajustes, intereses y multas</w:t>
      </w:r>
      <w:r w:rsidR="002B656F">
        <w:rPr>
          <w:rFonts w:ascii="Verdana" w:hAnsi="Verdana"/>
          <w:sz w:val="18"/>
          <w:szCs w:val="18"/>
        </w:rPr>
        <w:t>,</w:t>
      </w:r>
      <w:r w:rsidR="00A9662D">
        <w:rPr>
          <w:rFonts w:ascii="Verdana" w:hAnsi="Verdana"/>
          <w:sz w:val="18"/>
          <w:szCs w:val="18"/>
        </w:rPr>
        <w:t xml:space="preserve"> alcanzan a $12.647 millones.</w:t>
      </w:r>
      <w:r w:rsidRPr="00407036">
        <w:rPr>
          <w:rFonts w:ascii="Verdana" w:hAnsi="Verdana"/>
          <w:sz w:val="18"/>
          <w:szCs w:val="18"/>
        </w:rPr>
        <w:t xml:space="preserve"> </w:t>
      </w:r>
    </w:p>
    <w:p w:rsidR="00407036" w:rsidRPr="00407036" w:rsidRDefault="00407036" w:rsidP="00407036">
      <w:pPr>
        <w:jc w:val="both"/>
        <w:rPr>
          <w:rFonts w:ascii="Verdana" w:hAnsi="Verdana"/>
          <w:sz w:val="18"/>
          <w:szCs w:val="18"/>
        </w:rPr>
      </w:pPr>
    </w:p>
    <w:p w:rsidR="00407036" w:rsidRPr="00407036" w:rsidRDefault="006119B8" w:rsidP="00407036">
      <w:pPr>
        <w:jc w:val="both"/>
        <w:rPr>
          <w:rFonts w:ascii="Verdana" w:hAnsi="Verdana"/>
          <w:sz w:val="18"/>
          <w:szCs w:val="18"/>
        </w:rPr>
      </w:pPr>
      <w:r>
        <w:rPr>
          <w:rFonts w:ascii="Verdana" w:hAnsi="Verdana"/>
          <w:sz w:val="18"/>
          <w:szCs w:val="18"/>
        </w:rPr>
        <w:t xml:space="preserve">De esta manera el </w:t>
      </w:r>
      <w:r w:rsidR="00407036" w:rsidRPr="00407036">
        <w:rPr>
          <w:rFonts w:ascii="Verdana" w:hAnsi="Verdana"/>
          <w:sz w:val="18"/>
          <w:szCs w:val="18"/>
        </w:rPr>
        <w:t>SII ratificó su criterio histórico en tal sentido luego de haber analizado detalladamente</w:t>
      </w:r>
      <w:r w:rsidR="00BB4675">
        <w:rPr>
          <w:rFonts w:ascii="Verdana" w:hAnsi="Verdana"/>
          <w:sz w:val="18"/>
          <w:szCs w:val="18"/>
        </w:rPr>
        <w:t>,</w:t>
      </w:r>
      <w:r w:rsidR="00407036" w:rsidRPr="00407036">
        <w:rPr>
          <w:rFonts w:ascii="Verdana" w:hAnsi="Verdana"/>
          <w:sz w:val="18"/>
          <w:szCs w:val="18"/>
        </w:rPr>
        <w:t xml:space="preserve"> </w:t>
      </w:r>
      <w:r w:rsidR="000725FB">
        <w:rPr>
          <w:rFonts w:ascii="Verdana" w:hAnsi="Verdana"/>
          <w:sz w:val="18"/>
          <w:szCs w:val="18"/>
        </w:rPr>
        <w:t>desde el punto de vista normativo, jurídico y de fiscalización</w:t>
      </w:r>
      <w:r w:rsidR="00BB4675">
        <w:rPr>
          <w:rFonts w:ascii="Verdana" w:hAnsi="Verdana"/>
          <w:sz w:val="18"/>
          <w:szCs w:val="18"/>
        </w:rPr>
        <w:t>,</w:t>
      </w:r>
      <w:r w:rsidR="000725FB">
        <w:rPr>
          <w:rFonts w:ascii="Verdana" w:hAnsi="Verdana"/>
          <w:sz w:val="18"/>
          <w:szCs w:val="18"/>
        </w:rPr>
        <w:t xml:space="preserve"> </w:t>
      </w:r>
      <w:r w:rsidR="00407036" w:rsidRPr="00407036">
        <w:rPr>
          <w:rFonts w:ascii="Verdana" w:hAnsi="Verdana"/>
          <w:sz w:val="18"/>
          <w:szCs w:val="18"/>
        </w:rPr>
        <w:t>l</w:t>
      </w:r>
      <w:r w:rsidR="00B6204B">
        <w:rPr>
          <w:rFonts w:ascii="Verdana" w:hAnsi="Verdana"/>
          <w:sz w:val="18"/>
          <w:szCs w:val="18"/>
        </w:rPr>
        <w:t xml:space="preserve">os </w:t>
      </w:r>
      <w:r w:rsidR="00407036" w:rsidRPr="00407036">
        <w:rPr>
          <w:rFonts w:ascii="Verdana" w:hAnsi="Verdana"/>
          <w:sz w:val="18"/>
          <w:szCs w:val="18"/>
        </w:rPr>
        <w:t xml:space="preserve">antecedentes </w:t>
      </w:r>
      <w:r w:rsidR="00B6204B">
        <w:rPr>
          <w:rFonts w:ascii="Verdana" w:hAnsi="Verdana"/>
          <w:sz w:val="18"/>
          <w:szCs w:val="18"/>
        </w:rPr>
        <w:t xml:space="preserve">y </w:t>
      </w:r>
      <w:r w:rsidR="00B6204B" w:rsidRPr="00407036">
        <w:rPr>
          <w:rFonts w:ascii="Verdana" w:hAnsi="Verdana"/>
          <w:sz w:val="18"/>
          <w:szCs w:val="18"/>
        </w:rPr>
        <w:t xml:space="preserve">presentaciones </w:t>
      </w:r>
      <w:r w:rsidR="00407036" w:rsidRPr="00407036">
        <w:rPr>
          <w:rFonts w:ascii="Verdana" w:hAnsi="Verdana"/>
          <w:sz w:val="18"/>
          <w:szCs w:val="18"/>
        </w:rPr>
        <w:t>efectuadas por los mismos interesados, proceso que incluyó una serie de reuniones con los representantes de la</w:t>
      </w:r>
      <w:r w:rsidR="007A0AD8">
        <w:rPr>
          <w:rFonts w:ascii="Verdana" w:hAnsi="Verdana"/>
          <w:sz w:val="18"/>
          <w:szCs w:val="18"/>
        </w:rPr>
        <w:t>s Isapres y de la</w:t>
      </w:r>
      <w:r w:rsidR="00407036" w:rsidRPr="00407036">
        <w:rPr>
          <w:rFonts w:ascii="Verdana" w:hAnsi="Verdana"/>
          <w:sz w:val="18"/>
          <w:szCs w:val="18"/>
        </w:rPr>
        <w:t xml:space="preserve"> Asociación Gremial </w:t>
      </w:r>
      <w:r w:rsidR="007A0AD8">
        <w:rPr>
          <w:rFonts w:ascii="Verdana" w:hAnsi="Verdana"/>
          <w:sz w:val="18"/>
          <w:szCs w:val="18"/>
        </w:rPr>
        <w:t xml:space="preserve">que las agrupa, </w:t>
      </w:r>
      <w:r w:rsidR="00407036" w:rsidRPr="00407036">
        <w:rPr>
          <w:rFonts w:ascii="Verdana" w:hAnsi="Verdana"/>
          <w:sz w:val="18"/>
          <w:szCs w:val="18"/>
        </w:rPr>
        <w:t xml:space="preserve">en que </w:t>
      </w:r>
      <w:r w:rsidR="00B6204B">
        <w:rPr>
          <w:rFonts w:ascii="Verdana" w:hAnsi="Verdana"/>
          <w:sz w:val="18"/>
          <w:szCs w:val="18"/>
        </w:rPr>
        <w:t xml:space="preserve">éstos </w:t>
      </w:r>
      <w:r w:rsidR="00407036" w:rsidRPr="00407036">
        <w:rPr>
          <w:rFonts w:ascii="Verdana" w:hAnsi="Verdana"/>
          <w:sz w:val="18"/>
          <w:szCs w:val="18"/>
        </w:rPr>
        <w:t>expusieron sus argumentos.</w:t>
      </w:r>
    </w:p>
    <w:p w:rsidR="00407036" w:rsidRDefault="00407036" w:rsidP="00407036">
      <w:pPr>
        <w:jc w:val="both"/>
        <w:rPr>
          <w:rFonts w:ascii="Verdana" w:hAnsi="Verdana"/>
          <w:sz w:val="18"/>
          <w:szCs w:val="18"/>
        </w:rPr>
      </w:pPr>
    </w:p>
    <w:p w:rsidR="00C40DA7" w:rsidRDefault="00C40DA7" w:rsidP="00407036">
      <w:pPr>
        <w:jc w:val="both"/>
        <w:rPr>
          <w:rFonts w:ascii="Verdana" w:hAnsi="Verdana"/>
          <w:sz w:val="18"/>
          <w:szCs w:val="18"/>
        </w:rPr>
      </w:pPr>
      <w:r>
        <w:rPr>
          <w:rFonts w:ascii="Verdana" w:hAnsi="Verdana"/>
          <w:sz w:val="18"/>
          <w:szCs w:val="18"/>
        </w:rPr>
        <w:t xml:space="preserve">El pronunciamiento definitivo del Servicio está contenido </w:t>
      </w:r>
      <w:r w:rsidR="00D71506">
        <w:rPr>
          <w:rFonts w:ascii="Verdana" w:hAnsi="Verdana"/>
          <w:sz w:val="18"/>
          <w:szCs w:val="18"/>
        </w:rPr>
        <w:t xml:space="preserve">en un oficio </w:t>
      </w:r>
      <w:r w:rsidR="008626BE">
        <w:rPr>
          <w:rFonts w:ascii="Verdana" w:hAnsi="Verdana"/>
          <w:sz w:val="18"/>
          <w:szCs w:val="18"/>
        </w:rPr>
        <w:t xml:space="preserve">respuesta </w:t>
      </w:r>
      <w:r w:rsidR="00D71506">
        <w:rPr>
          <w:rFonts w:ascii="Verdana" w:hAnsi="Verdana"/>
          <w:sz w:val="18"/>
          <w:szCs w:val="18"/>
        </w:rPr>
        <w:t xml:space="preserve">del Director </w:t>
      </w:r>
      <w:r w:rsidR="008626BE">
        <w:rPr>
          <w:rFonts w:ascii="Verdana" w:hAnsi="Verdana"/>
          <w:sz w:val="18"/>
          <w:szCs w:val="18"/>
        </w:rPr>
        <w:t>N</w:t>
      </w:r>
      <w:r w:rsidR="00D71506">
        <w:rPr>
          <w:rFonts w:ascii="Verdana" w:hAnsi="Verdana"/>
          <w:sz w:val="18"/>
          <w:szCs w:val="18"/>
        </w:rPr>
        <w:t>acional del SII a una consulta de la Dirección de Grandes Contribuyentes,</w:t>
      </w:r>
      <w:r w:rsidR="00C171E1">
        <w:rPr>
          <w:rFonts w:ascii="Verdana" w:hAnsi="Verdana"/>
          <w:sz w:val="18"/>
          <w:szCs w:val="18"/>
        </w:rPr>
        <w:t xml:space="preserve"> acerca </w:t>
      </w:r>
      <w:r w:rsidR="009056BA" w:rsidRPr="009056BA">
        <w:rPr>
          <w:rFonts w:ascii="Verdana" w:hAnsi="Verdana"/>
          <w:sz w:val="18"/>
          <w:szCs w:val="18"/>
        </w:rPr>
        <w:t>de la situación tributaria de los gastos por concepto de costas personales</w:t>
      </w:r>
      <w:r w:rsidR="009056BA">
        <w:rPr>
          <w:rFonts w:ascii="Verdana" w:hAnsi="Verdana"/>
          <w:sz w:val="18"/>
          <w:szCs w:val="18"/>
        </w:rPr>
        <w:t xml:space="preserve"> </w:t>
      </w:r>
      <w:r w:rsidR="009056BA" w:rsidRPr="009056BA">
        <w:rPr>
          <w:rFonts w:ascii="Verdana" w:hAnsi="Verdana"/>
          <w:sz w:val="18"/>
          <w:szCs w:val="18"/>
        </w:rPr>
        <w:t>a las</w:t>
      </w:r>
      <w:r w:rsidR="009056BA">
        <w:rPr>
          <w:rFonts w:ascii="Verdana" w:hAnsi="Verdana"/>
          <w:sz w:val="18"/>
          <w:szCs w:val="18"/>
        </w:rPr>
        <w:t xml:space="preserve"> que</w:t>
      </w:r>
      <w:r w:rsidR="009056BA" w:rsidRPr="009056BA">
        <w:rPr>
          <w:rFonts w:ascii="Verdana" w:hAnsi="Verdana"/>
          <w:sz w:val="18"/>
          <w:szCs w:val="18"/>
        </w:rPr>
        <w:t xml:space="preserve"> fueron condenadas</w:t>
      </w:r>
      <w:r w:rsidR="009056BA">
        <w:rPr>
          <w:rFonts w:ascii="Verdana" w:hAnsi="Verdana"/>
          <w:sz w:val="18"/>
          <w:szCs w:val="18"/>
        </w:rPr>
        <w:t xml:space="preserve"> las Isapres</w:t>
      </w:r>
      <w:r w:rsidR="009056BA" w:rsidRPr="009056BA">
        <w:rPr>
          <w:rFonts w:ascii="Verdana" w:hAnsi="Verdana"/>
          <w:sz w:val="18"/>
          <w:szCs w:val="18"/>
        </w:rPr>
        <w:t xml:space="preserve"> en la tramitación de recursos de protección iniciados por afiliados a esas instituciones</w:t>
      </w:r>
      <w:r w:rsidR="00EE2BEE">
        <w:rPr>
          <w:rFonts w:ascii="Verdana" w:hAnsi="Verdana"/>
          <w:sz w:val="18"/>
          <w:szCs w:val="18"/>
        </w:rPr>
        <w:t xml:space="preserve"> </w:t>
      </w:r>
      <w:r w:rsidR="00EE2BEE" w:rsidRPr="00EE2BEE">
        <w:rPr>
          <w:rFonts w:ascii="Verdana" w:hAnsi="Verdana"/>
          <w:sz w:val="18"/>
          <w:szCs w:val="18"/>
        </w:rPr>
        <w:t>reclamando alzas unilaterales de sus planes de salud.</w:t>
      </w:r>
    </w:p>
    <w:p w:rsidR="007A0AD8" w:rsidRDefault="007A0AD8" w:rsidP="00407036">
      <w:pPr>
        <w:jc w:val="both"/>
        <w:rPr>
          <w:rFonts w:ascii="Verdana" w:hAnsi="Verdana"/>
          <w:sz w:val="18"/>
          <w:szCs w:val="18"/>
        </w:rPr>
      </w:pPr>
    </w:p>
    <w:p w:rsidR="00237B0E" w:rsidRDefault="008258CD" w:rsidP="00CF2B65">
      <w:pPr>
        <w:jc w:val="both"/>
        <w:rPr>
          <w:rFonts w:ascii="Verdana" w:hAnsi="Verdana"/>
          <w:sz w:val="18"/>
          <w:szCs w:val="18"/>
        </w:rPr>
      </w:pPr>
      <w:r>
        <w:rPr>
          <w:rFonts w:ascii="Verdana" w:hAnsi="Verdana"/>
          <w:sz w:val="18"/>
          <w:szCs w:val="18"/>
        </w:rPr>
        <w:t xml:space="preserve">Ello, luego de que </w:t>
      </w:r>
      <w:r w:rsidR="00CF2B65" w:rsidRPr="00CF2B65">
        <w:rPr>
          <w:rFonts w:ascii="Verdana" w:hAnsi="Verdana"/>
          <w:sz w:val="18"/>
          <w:szCs w:val="18"/>
        </w:rPr>
        <w:t xml:space="preserve">en el marco de un plan de fiscalización sobre gastos rechazados del artículo 21 inciso 1° de la Ley sobre Impuesto a la Renta </w:t>
      </w:r>
      <w:r>
        <w:rPr>
          <w:rFonts w:ascii="Verdana" w:hAnsi="Verdana"/>
          <w:sz w:val="18"/>
          <w:szCs w:val="18"/>
        </w:rPr>
        <w:t>iniciado el año pasado</w:t>
      </w:r>
      <w:r w:rsidR="00CF2B65" w:rsidRPr="00CF2B65">
        <w:rPr>
          <w:rFonts w:ascii="Verdana" w:hAnsi="Verdana"/>
          <w:sz w:val="18"/>
          <w:szCs w:val="18"/>
        </w:rPr>
        <w:t xml:space="preserve">, se notificó a </w:t>
      </w:r>
      <w:r>
        <w:rPr>
          <w:rFonts w:ascii="Verdana" w:hAnsi="Verdana"/>
          <w:sz w:val="18"/>
          <w:szCs w:val="18"/>
        </w:rPr>
        <w:t>estas</w:t>
      </w:r>
      <w:r w:rsidR="00CF2B65" w:rsidRPr="00CF2B65">
        <w:rPr>
          <w:rFonts w:ascii="Verdana" w:hAnsi="Verdana"/>
          <w:sz w:val="18"/>
          <w:szCs w:val="18"/>
        </w:rPr>
        <w:t xml:space="preserve"> Instituciones para verificar el tratamiento tributario</w:t>
      </w:r>
      <w:r w:rsidR="00237B0E">
        <w:rPr>
          <w:rFonts w:ascii="Verdana" w:hAnsi="Verdana"/>
          <w:sz w:val="18"/>
          <w:szCs w:val="18"/>
        </w:rPr>
        <w:t xml:space="preserve"> </w:t>
      </w:r>
      <w:r w:rsidR="00CF2B65" w:rsidRPr="00CF2B65">
        <w:rPr>
          <w:rFonts w:ascii="Verdana" w:hAnsi="Verdana"/>
          <w:sz w:val="18"/>
          <w:szCs w:val="18"/>
        </w:rPr>
        <w:t xml:space="preserve">aplicable a las costas personales a las cuales fueron condenadas en la tramitación de recursos de protección, </w:t>
      </w:r>
      <w:r w:rsidR="00237B0E" w:rsidRPr="00CF2B65">
        <w:rPr>
          <w:rFonts w:ascii="Verdana" w:hAnsi="Verdana"/>
          <w:sz w:val="18"/>
          <w:szCs w:val="18"/>
        </w:rPr>
        <w:t>respec</w:t>
      </w:r>
      <w:r w:rsidR="00237B0E">
        <w:rPr>
          <w:rFonts w:ascii="Verdana" w:hAnsi="Verdana"/>
          <w:sz w:val="18"/>
          <w:szCs w:val="18"/>
        </w:rPr>
        <w:t xml:space="preserve">to de los años comerciales 2013, </w:t>
      </w:r>
      <w:r w:rsidR="00237B0E" w:rsidRPr="00CF2B65">
        <w:rPr>
          <w:rFonts w:ascii="Verdana" w:hAnsi="Verdana"/>
          <w:sz w:val="18"/>
          <w:szCs w:val="18"/>
        </w:rPr>
        <w:t>2014</w:t>
      </w:r>
      <w:r w:rsidR="00237B0E">
        <w:rPr>
          <w:rFonts w:ascii="Verdana" w:hAnsi="Verdana"/>
          <w:sz w:val="18"/>
          <w:szCs w:val="18"/>
        </w:rPr>
        <w:t xml:space="preserve"> y 2015.</w:t>
      </w:r>
    </w:p>
    <w:p w:rsidR="00237B0E" w:rsidRDefault="00237B0E" w:rsidP="00CF2B65">
      <w:pPr>
        <w:jc w:val="both"/>
        <w:rPr>
          <w:rFonts w:ascii="Verdana" w:hAnsi="Verdana"/>
          <w:sz w:val="18"/>
          <w:szCs w:val="18"/>
        </w:rPr>
      </w:pPr>
    </w:p>
    <w:p w:rsidR="000725FB" w:rsidRDefault="00941D8F" w:rsidP="00407036">
      <w:pPr>
        <w:jc w:val="both"/>
        <w:rPr>
          <w:rFonts w:ascii="Verdana" w:hAnsi="Verdana"/>
          <w:sz w:val="18"/>
          <w:szCs w:val="18"/>
        </w:rPr>
      </w:pPr>
      <w:r>
        <w:rPr>
          <w:rFonts w:ascii="Verdana" w:hAnsi="Verdana"/>
          <w:sz w:val="18"/>
          <w:szCs w:val="18"/>
        </w:rPr>
        <w:t>Cabe precisar e</w:t>
      </w:r>
      <w:r w:rsidR="00CF2B65" w:rsidRPr="00CF2B65">
        <w:rPr>
          <w:rFonts w:ascii="Verdana" w:hAnsi="Verdana"/>
          <w:sz w:val="18"/>
          <w:szCs w:val="18"/>
        </w:rPr>
        <w:t xml:space="preserve">l tratamiento tributario aplicable en el referido plan de fiscalización, reproduce el criterio </w:t>
      </w:r>
      <w:r w:rsidR="00626E50">
        <w:rPr>
          <w:rFonts w:ascii="Verdana" w:hAnsi="Verdana"/>
          <w:sz w:val="18"/>
          <w:szCs w:val="18"/>
        </w:rPr>
        <w:t>anterior</w:t>
      </w:r>
      <w:r w:rsidR="005A0DBC">
        <w:rPr>
          <w:rFonts w:ascii="Verdana" w:hAnsi="Verdana"/>
          <w:sz w:val="18"/>
          <w:szCs w:val="18"/>
        </w:rPr>
        <w:t xml:space="preserve"> definido tanto por la Subdirección Normativa como la Subdirección de Fiscalización, </w:t>
      </w:r>
      <w:r>
        <w:rPr>
          <w:rFonts w:ascii="Verdana" w:hAnsi="Verdana"/>
          <w:sz w:val="18"/>
          <w:szCs w:val="18"/>
        </w:rPr>
        <w:t>en que s</w:t>
      </w:r>
      <w:r w:rsidR="00CF2B65" w:rsidRPr="00CF2B65">
        <w:rPr>
          <w:rFonts w:ascii="Verdana" w:hAnsi="Verdana"/>
          <w:sz w:val="18"/>
          <w:szCs w:val="18"/>
        </w:rPr>
        <w:t xml:space="preserve">e </w:t>
      </w:r>
      <w:r w:rsidR="005A0DBC">
        <w:rPr>
          <w:rFonts w:ascii="Verdana" w:hAnsi="Verdana"/>
          <w:sz w:val="18"/>
          <w:szCs w:val="18"/>
        </w:rPr>
        <w:t>concluye q</w:t>
      </w:r>
      <w:r w:rsidR="00CF2B65" w:rsidRPr="00CF2B65">
        <w:rPr>
          <w:rFonts w:ascii="Verdana" w:hAnsi="Verdana"/>
          <w:sz w:val="18"/>
          <w:szCs w:val="18"/>
        </w:rPr>
        <w:t>ue los desembolsos en que incurren las ISAPRES para pagar las costas determinadas por sentencia judicial, no cumplen con los requisitos establecidos en el artículo 31 de la LIR, pues no son un gasto necesario para producir la renta y no son inevitables, toda vez que su obligación de pago deriva de una resolución judicial que determinó la existencia de actos u omisiones calificadas de ilegales o arbitrarias, habiéndose enfrentado éstas a un procedimiento cautelar sin haber tenido motivo plausible para litigar, no siendo procedente que un acto de dicha naturaleza pueda transformarse en un gasto deducible tributariamente para quien ejecuta dicho acto contrario a derecho.</w:t>
      </w:r>
      <w:r w:rsidR="00466B69">
        <w:rPr>
          <w:rFonts w:ascii="Verdana" w:hAnsi="Verdana"/>
          <w:sz w:val="18"/>
          <w:szCs w:val="18"/>
        </w:rPr>
        <w:t xml:space="preserve"> </w:t>
      </w:r>
    </w:p>
    <w:p w:rsidR="00071C32" w:rsidRDefault="00071C32" w:rsidP="000725FB">
      <w:pPr>
        <w:jc w:val="both"/>
        <w:rPr>
          <w:rFonts w:ascii="Verdana" w:hAnsi="Verdana"/>
          <w:sz w:val="18"/>
          <w:szCs w:val="18"/>
        </w:rPr>
      </w:pPr>
      <w:bookmarkStart w:id="0" w:name="_GoBack"/>
      <w:bookmarkEnd w:id="0"/>
    </w:p>
    <w:p w:rsidR="000725FB" w:rsidRPr="000725FB" w:rsidRDefault="000725FB" w:rsidP="000725FB">
      <w:pPr>
        <w:jc w:val="both"/>
        <w:rPr>
          <w:rFonts w:ascii="Verdana" w:hAnsi="Verdana"/>
          <w:sz w:val="18"/>
          <w:szCs w:val="18"/>
        </w:rPr>
      </w:pPr>
      <w:r>
        <w:rPr>
          <w:rFonts w:ascii="Verdana" w:hAnsi="Verdana"/>
          <w:sz w:val="18"/>
          <w:szCs w:val="18"/>
        </w:rPr>
        <w:lastRenderedPageBreak/>
        <w:t xml:space="preserve">Así, el oficio </w:t>
      </w:r>
      <w:r w:rsidR="00466B69">
        <w:rPr>
          <w:rFonts w:ascii="Verdana" w:hAnsi="Verdana"/>
          <w:sz w:val="18"/>
          <w:szCs w:val="18"/>
        </w:rPr>
        <w:t>N°137</w:t>
      </w:r>
      <w:r w:rsidR="00BB4675">
        <w:rPr>
          <w:rFonts w:ascii="Verdana" w:hAnsi="Verdana"/>
          <w:sz w:val="18"/>
          <w:szCs w:val="18"/>
        </w:rPr>
        <w:t xml:space="preserve">, de fecha 22.08.2016, </w:t>
      </w:r>
      <w:r w:rsidR="005A0DBC">
        <w:rPr>
          <w:rFonts w:ascii="Verdana" w:hAnsi="Verdana"/>
          <w:sz w:val="18"/>
          <w:szCs w:val="18"/>
        </w:rPr>
        <w:t xml:space="preserve">que se basa en criterios históricos sobre el tratamiento de los gastos rechazados, </w:t>
      </w:r>
      <w:r>
        <w:rPr>
          <w:rFonts w:ascii="Verdana" w:hAnsi="Verdana"/>
          <w:sz w:val="18"/>
          <w:szCs w:val="18"/>
        </w:rPr>
        <w:t xml:space="preserve">concluye que los </w:t>
      </w:r>
      <w:r w:rsidRPr="000725FB">
        <w:rPr>
          <w:rFonts w:ascii="Verdana" w:hAnsi="Verdana"/>
          <w:sz w:val="18"/>
          <w:szCs w:val="18"/>
        </w:rPr>
        <w:t>desembolsos incurridos por los contribuyentes señalados</w:t>
      </w:r>
      <w:r w:rsidR="002B656F">
        <w:rPr>
          <w:rFonts w:ascii="Verdana" w:hAnsi="Verdana"/>
          <w:sz w:val="18"/>
          <w:szCs w:val="18"/>
        </w:rPr>
        <w:t xml:space="preserve"> (Isapres)</w:t>
      </w:r>
      <w:r w:rsidRPr="000725FB">
        <w:rPr>
          <w:rFonts w:ascii="Verdana" w:hAnsi="Verdana"/>
          <w:sz w:val="18"/>
          <w:szCs w:val="18"/>
        </w:rPr>
        <w:t xml:space="preserve">, por concepto de costas personales a las que han sido condenados en los recursos de protección en cuestión, no cumplen los requisitos establecidos en el artículo 31, de la LIR, y por lo tanto están sujetos a lo dispuesto en el artículo 21, del mismo texto legal, aun cuando sean de carácter obligatorio al estar establecidos mediante sentencia judicial, pues no se trata de gastos necesarios para producir sus rentas al no estar relacionados con su giro ni estar destinados a generar sus ingresos; sino que su objeto es resarcir los gastos en que ha incurrido la parte vencedora en el procedimiento jurisdiccional, iniciado por el incumplimiento de las normas que regulan la adecuación de los planes de salud y que los tribunales han calificado de arbitrario. </w:t>
      </w:r>
    </w:p>
    <w:p w:rsidR="000725FB" w:rsidRDefault="000725FB" w:rsidP="00407036">
      <w:pPr>
        <w:jc w:val="both"/>
        <w:rPr>
          <w:rFonts w:ascii="Verdana" w:hAnsi="Verdana"/>
          <w:sz w:val="18"/>
          <w:szCs w:val="18"/>
        </w:rPr>
      </w:pPr>
    </w:p>
    <w:p w:rsidR="005A581D" w:rsidRDefault="002B656F" w:rsidP="00B070B6">
      <w:pPr>
        <w:autoSpaceDE w:val="0"/>
        <w:autoSpaceDN w:val="0"/>
        <w:adjustRightInd w:val="0"/>
        <w:spacing w:after="240"/>
        <w:jc w:val="both"/>
        <w:rPr>
          <w:rFonts w:ascii="Verdana" w:hAnsi="Verdana"/>
          <w:sz w:val="18"/>
          <w:szCs w:val="18"/>
        </w:rPr>
      </w:pPr>
      <w:r>
        <w:rPr>
          <w:rFonts w:ascii="Verdana" w:hAnsi="Verdana"/>
          <w:sz w:val="18"/>
          <w:szCs w:val="18"/>
        </w:rPr>
        <w:t xml:space="preserve">Finalmente, </w:t>
      </w:r>
      <w:r w:rsidR="00B070B6">
        <w:rPr>
          <w:rFonts w:ascii="Verdana" w:hAnsi="Verdana"/>
          <w:sz w:val="18"/>
          <w:szCs w:val="18"/>
        </w:rPr>
        <w:t xml:space="preserve">el SII advirtió que </w:t>
      </w:r>
      <w:r w:rsidR="00A70D29" w:rsidRPr="00B070B6">
        <w:rPr>
          <w:rFonts w:ascii="Verdana" w:hAnsi="Verdana"/>
          <w:sz w:val="18"/>
          <w:szCs w:val="18"/>
        </w:rPr>
        <w:t>e</w:t>
      </w:r>
      <w:r w:rsidR="00BB4675">
        <w:rPr>
          <w:rFonts w:ascii="Verdana" w:hAnsi="Verdana"/>
          <w:sz w:val="18"/>
          <w:szCs w:val="18"/>
        </w:rPr>
        <w:t>ste</w:t>
      </w:r>
      <w:r w:rsidR="00A70D29" w:rsidRPr="00B070B6">
        <w:rPr>
          <w:rFonts w:ascii="Verdana" w:hAnsi="Verdana"/>
          <w:sz w:val="18"/>
          <w:szCs w:val="18"/>
        </w:rPr>
        <w:t xml:space="preserve"> pronunciamiento sólo tiene por objeto analizar el tratamiento tributario aplicable a las costas personales a que son condenadas las ISAPRES en recursos de protección interpuestos por sus afiliados reclamando alzas unilaterales de sus planes de salud. Por lo tanto, </w:t>
      </w:r>
      <w:r w:rsidR="00B070B6" w:rsidRPr="00B070B6">
        <w:rPr>
          <w:rFonts w:ascii="Verdana" w:hAnsi="Verdana"/>
          <w:sz w:val="18"/>
          <w:szCs w:val="18"/>
        </w:rPr>
        <w:t xml:space="preserve">en caso alguno analiza el tratamiento tributario que correspondería aplicar a los gastos incurridos por las ISAPRES en la defensa de sus propias pretensiones en estrados (esto es, los gastos asociados al pago de honorarios de los abogados que asumen la defensa procesal de las ISAPRES frente a los recursos de protección interpuestos por los afiliados, en virtud de mandato judicial). </w:t>
      </w:r>
    </w:p>
    <w:p w:rsidR="00B070B6" w:rsidRDefault="00B070B6" w:rsidP="00B070B6">
      <w:pPr>
        <w:autoSpaceDE w:val="0"/>
        <w:autoSpaceDN w:val="0"/>
        <w:adjustRightInd w:val="0"/>
        <w:spacing w:after="240"/>
        <w:jc w:val="both"/>
        <w:rPr>
          <w:rFonts w:ascii="Verdana" w:hAnsi="Verdana"/>
          <w:sz w:val="18"/>
          <w:szCs w:val="18"/>
        </w:rPr>
      </w:pPr>
      <w:r w:rsidRPr="00B070B6">
        <w:rPr>
          <w:rFonts w:ascii="Verdana" w:hAnsi="Verdana"/>
          <w:sz w:val="18"/>
          <w:szCs w:val="18"/>
        </w:rPr>
        <w:t xml:space="preserve">En otras palabras, no debe confundirse el tratamiento tributario de las condenas en costas personales con el tratamiento que podría corresponder a los gastos asociados a la propia defensa de sus pretensiones y en los cuales las ISAPRES puedan incurrir. </w:t>
      </w:r>
    </w:p>
    <w:p w:rsidR="00BB4675" w:rsidRDefault="00BB4675" w:rsidP="00B070B6">
      <w:pPr>
        <w:autoSpaceDE w:val="0"/>
        <w:autoSpaceDN w:val="0"/>
        <w:adjustRightInd w:val="0"/>
        <w:spacing w:after="240"/>
        <w:jc w:val="both"/>
        <w:rPr>
          <w:rFonts w:ascii="Verdana" w:hAnsi="Verdana"/>
          <w:sz w:val="18"/>
          <w:szCs w:val="18"/>
        </w:rPr>
      </w:pPr>
    </w:p>
    <w:p w:rsidR="00BB4675" w:rsidRDefault="00BB4675" w:rsidP="00B070B6">
      <w:pPr>
        <w:autoSpaceDE w:val="0"/>
        <w:autoSpaceDN w:val="0"/>
        <w:adjustRightInd w:val="0"/>
        <w:spacing w:after="240"/>
        <w:jc w:val="both"/>
        <w:rPr>
          <w:rFonts w:ascii="Verdana" w:hAnsi="Verdana"/>
          <w:sz w:val="18"/>
          <w:szCs w:val="18"/>
        </w:rPr>
      </w:pPr>
    </w:p>
    <w:p w:rsidR="00BB4675" w:rsidRDefault="00BB4675" w:rsidP="00B070B6">
      <w:pPr>
        <w:autoSpaceDE w:val="0"/>
        <w:autoSpaceDN w:val="0"/>
        <w:adjustRightInd w:val="0"/>
        <w:spacing w:after="240"/>
        <w:jc w:val="both"/>
        <w:rPr>
          <w:rFonts w:ascii="Verdana" w:hAnsi="Verdana"/>
          <w:sz w:val="18"/>
          <w:szCs w:val="18"/>
        </w:rPr>
      </w:pPr>
    </w:p>
    <w:p w:rsidR="00BB4675" w:rsidRPr="00B070B6" w:rsidRDefault="00BB4675" w:rsidP="00B070B6">
      <w:pPr>
        <w:autoSpaceDE w:val="0"/>
        <w:autoSpaceDN w:val="0"/>
        <w:adjustRightInd w:val="0"/>
        <w:spacing w:after="240"/>
        <w:jc w:val="both"/>
        <w:rPr>
          <w:rFonts w:ascii="Verdana" w:hAnsi="Verdana"/>
          <w:sz w:val="18"/>
          <w:szCs w:val="18"/>
        </w:rPr>
      </w:pPr>
    </w:p>
    <w:p w:rsidR="00B070B6" w:rsidRDefault="00B070B6" w:rsidP="00B070B6">
      <w:pPr>
        <w:jc w:val="both"/>
        <w:rPr>
          <w:rFonts w:ascii="Verdana" w:hAnsi="Verdana"/>
          <w:sz w:val="18"/>
          <w:szCs w:val="18"/>
        </w:rPr>
      </w:pPr>
    </w:p>
    <w:p w:rsidR="008626BE" w:rsidRDefault="005A581D" w:rsidP="00071C32">
      <w:pPr>
        <w:jc w:val="both"/>
        <w:rPr>
          <w:color w:val="1F497D"/>
        </w:rPr>
      </w:pPr>
      <w:r>
        <w:rPr>
          <w:rFonts w:ascii="Verdana" w:hAnsi="Verdana"/>
          <w:sz w:val="18"/>
          <w:szCs w:val="18"/>
        </w:rPr>
        <w:t>Santiago, 30 de agosto de 2016.</w:t>
      </w:r>
    </w:p>
    <w:p w:rsidR="008626BE" w:rsidRPr="00407036" w:rsidRDefault="008626BE" w:rsidP="00407036">
      <w:pPr>
        <w:jc w:val="both"/>
        <w:rPr>
          <w:rFonts w:ascii="Verdana" w:hAnsi="Verdana"/>
          <w:sz w:val="18"/>
          <w:szCs w:val="18"/>
        </w:rPr>
      </w:pPr>
    </w:p>
    <w:sectPr w:rsidR="008626BE" w:rsidRPr="00407036" w:rsidSect="00664958">
      <w:pgSz w:w="12240" w:h="15840"/>
      <w:pgMar w:top="1418" w:right="170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A07"/>
    <w:multiLevelType w:val="hybridMultilevel"/>
    <w:tmpl w:val="96908E96"/>
    <w:lvl w:ilvl="0" w:tplc="400A4E7E">
      <w:start w:val="1"/>
      <w:numFmt w:val="lowerLetter"/>
      <w:lvlText w:val="%1)"/>
      <w:lvlJc w:val="left"/>
      <w:pPr>
        <w:ind w:left="360" w:hanging="360"/>
      </w:pPr>
      <w:rPr>
        <w:rFonts w:cstheme="minorBid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91613F9"/>
    <w:multiLevelType w:val="hybridMultilevel"/>
    <w:tmpl w:val="F618A2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52803159"/>
    <w:multiLevelType w:val="hybridMultilevel"/>
    <w:tmpl w:val="B9823B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5F"/>
    <w:rsid w:val="00071C32"/>
    <w:rsid w:val="000725FB"/>
    <w:rsid w:val="00192C70"/>
    <w:rsid w:val="001B149D"/>
    <w:rsid w:val="00237B0E"/>
    <w:rsid w:val="002434BF"/>
    <w:rsid w:val="00257D37"/>
    <w:rsid w:val="002B656F"/>
    <w:rsid w:val="002E35D3"/>
    <w:rsid w:val="003408B5"/>
    <w:rsid w:val="003620C0"/>
    <w:rsid w:val="0039763B"/>
    <w:rsid w:val="003E1C24"/>
    <w:rsid w:val="00407036"/>
    <w:rsid w:val="00433BCA"/>
    <w:rsid w:val="00466B69"/>
    <w:rsid w:val="004E503A"/>
    <w:rsid w:val="00544A16"/>
    <w:rsid w:val="005A0DBC"/>
    <w:rsid w:val="005A581D"/>
    <w:rsid w:val="006119B8"/>
    <w:rsid w:val="00626E50"/>
    <w:rsid w:val="00664958"/>
    <w:rsid w:val="00791795"/>
    <w:rsid w:val="007A0AD8"/>
    <w:rsid w:val="008258CD"/>
    <w:rsid w:val="00835DEB"/>
    <w:rsid w:val="008626BE"/>
    <w:rsid w:val="009056BA"/>
    <w:rsid w:val="00937BB3"/>
    <w:rsid w:val="00941D8F"/>
    <w:rsid w:val="00944CBD"/>
    <w:rsid w:val="00A70D29"/>
    <w:rsid w:val="00A9662D"/>
    <w:rsid w:val="00AE3DB9"/>
    <w:rsid w:val="00B070B6"/>
    <w:rsid w:val="00B6204B"/>
    <w:rsid w:val="00BB4675"/>
    <w:rsid w:val="00BE555F"/>
    <w:rsid w:val="00C171E1"/>
    <w:rsid w:val="00C40DA7"/>
    <w:rsid w:val="00C91FCE"/>
    <w:rsid w:val="00CA124B"/>
    <w:rsid w:val="00CF2B65"/>
    <w:rsid w:val="00D25757"/>
    <w:rsid w:val="00D71506"/>
    <w:rsid w:val="00E81146"/>
    <w:rsid w:val="00E81B26"/>
    <w:rsid w:val="00EE2BEE"/>
    <w:rsid w:val="00F025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84524-3243-4E33-A6D7-84E615A7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5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555F"/>
    <w:pPr>
      <w:ind w:left="720"/>
      <w:contextualSpacing/>
    </w:pPr>
  </w:style>
  <w:style w:type="character" w:styleId="Hipervnculo">
    <w:name w:val="Hyperlink"/>
    <w:basedOn w:val="Fuentedeprrafopredeter"/>
    <w:uiPriority w:val="99"/>
    <w:semiHidden/>
    <w:unhideWhenUsed/>
    <w:rsid w:val="008626BE"/>
    <w:rPr>
      <w:color w:val="0563C1"/>
      <w:u w:val="single"/>
    </w:rPr>
  </w:style>
  <w:style w:type="paragraph" w:styleId="Textodeglobo">
    <w:name w:val="Balloon Text"/>
    <w:basedOn w:val="Normal"/>
    <w:link w:val="TextodegloboCar"/>
    <w:uiPriority w:val="99"/>
    <w:semiHidden/>
    <w:unhideWhenUsed/>
    <w:rsid w:val="00937B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60121">
      <w:bodyDiv w:val="1"/>
      <w:marLeft w:val="0"/>
      <w:marRight w:val="0"/>
      <w:marTop w:val="0"/>
      <w:marBottom w:val="0"/>
      <w:divBdr>
        <w:top w:val="none" w:sz="0" w:space="0" w:color="auto"/>
        <w:left w:val="none" w:sz="0" w:space="0" w:color="auto"/>
        <w:bottom w:val="none" w:sz="0" w:space="0" w:color="auto"/>
        <w:right w:val="none" w:sz="0" w:space="0" w:color="auto"/>
      </w:divBdr>
    </w:div>
    <w:div w:id="673798829">
      <w:bodyDiv w:val="1"/>
      <w:marLeft w:val="0"/>
      <w:marRight w:val="0"/>
      <w:marTop w:val="0"/>
      <w:marBottom w:val="0"/>
      <w:divBdr>
        <w:top w:val="none" w:sz="0" w:space="0" w:color="auto"/>
        <w:left w:val="none" w:sz="0" w:space="0" w:color="auto"/>
        <w:bottom w:val="none" w:sz="0" w:space="0" w:color="auto"/>
        <w:right w:val="none" w:sz="0" w:space="0" w:color="auto"/>
      </w:divBdr>
    </w:div>
    <w:div w:id="905340166">
      <w:bodyDiv w:val="1"/>
      <w:marLeft w:val="0"/>
      <w:marRight w:val="0"/>
      <w:marTop w:val="0"/>
      <w:marBottom w:val="0"/>
      <w:divBdr>
        <w:top w:val="none" w:sz="0" w:space="0" w:color="auto"/>
        <w:left w:val="none" w:sz="0" w:space="0" w:color="auto"/>
        <w:bottom w:val="none" w:sz="0" w:space="0" w:color="auto"/>
        <w:right w:val="none" w:sz="0" w:space="0" w:color="auto"/>
      </w:divBdr>
    </w:div>
    <w:div w:id="1258905656">
      <w:bodyDiv w:val="1"/>
      <w:marLeft w:val="0"/>
      <w:marRight w:val="0"/>
      <w:marTop w:val="0"/>
      <w:marBottom w:val="0"/>
      <w:divBdr>
        <w:top w:val="none" w:sz="0" w:space="0" w:color="auto"/>
        <w:left w:val="none" w:sz="0" w:space="0" w:color="auto"/>
        <w:bottom w:val="none" w:sz="0" w:space="0" w:color="auto"/>
        <w:right w:val="none" w:sz="0" w:space="0" w:color="auto"/>
      </w:divBdr>
    </w:div>
    <w:div w:id="1606503009">
      <w:bodyDiv w:val="1"/>
      <w:marLeft w:val="0"/>
      <w:marRight w:val="0"/>
      <w:marTop w:val="0"/>
      <w:marBottom w:val="0"/>
      <w:divBdr>
        <w:top w:val="none" w:sz="0" w:space="0" w:color="auto"/>
        <w:left w:val="none" w:sz="0" w:space="0" w:color="auto"/>
        <w:bottom w:val="none" w:sz="0" w:space="0" w:color="auto"/>
        <w:right w:val="none" w:sz="0" w:space="0" w:color="auto"/>
      </w:divBdr>
    </w:div>
    <w:div w:id="1845824754">
      <w:bodyDiv w:val="1"/>
      <w:marLeft w:val="0"/>
      <w:marRight w:val="0"/>
      <w:marTop w:val="0"/>
      <w:marBottom w:val="0"/>
      <w:divBdr>
        <w:top w:val="none" w:sz="0" w:space="0" w:color="auto"/>
        <w:left w:val="none" w:sz="0" w:space="0" w:color="auto"/>
        <w:bottom w:val="none" w:sz="0" w:space="0" w:color="auto"/>
        <w:right w:val="none" w:sz="0" w:space="0" w:color="auto"/>
      </w:divBdr>
    </w:div>
    <w:div w:id="1863474247">
      <w:bodyDiv w:val="1"/>
      <w:marLeft w:val="0"/>
      <w:marRight w:val="0"/>
      <w:marTop w:val="0"/>
      <w:marBottom w:val="0"/>
      <w:divBdr>
        <w:top w:val="none" w:sz="0" w:space="0" w:color="auto"/>
        <w:left w:val="none" w:sz="0" w:space="0" w:color="auto"/>
        <w:bottom w:val="none" w:sz="0" w:space="0" w:color="auto"/>
        <w:right w:val="none" w:sz="0" w:space="0" w:color="auto"/>
      </w:divBdr>
    </w:div>
    <w:div w:id="1965110142">
      <w:bodyDiv w:val="1"/>
      <w:marLeft w:val="0"/>
      <w:marRight w:val="0"/>
      <w:marTop w:val="0"/>
      <w:marBottom w:val="0"/>
      <w:divBdr>
        <w:top w:val="none" w:sz="0" w:space="0" w:color="auto"/>
        <w:left w:val="none" w:sz="0" w:space="0" w:color="auto"/>
        <w:bottom w:val="none" w:sz="0" w:space="0" w:color="auto"/>
        <w:right w:val="none" w:sz="0" w:space="0" w:color="auto"/>
      </w:divBdr>
    </w:div>
    <w:div w:id="20127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Essus Hernandez</dc:creator>
  <cp:keywords/>
  <dc:description/>
  <cp:lastModifiedBy>Carlos Alberto Essus Hernandez</cp:lastModifiedBy>
  <cp:revision>5</cp:revision>
  <cp:lastPrinted>2016-08-30T16:53:00Z</cp:lastPrinted>
  <dcterms:created xsi:type="dcterms:W3CDTF">2016-08-30T16:42:00Z</dcterms:created>
  <dcterms:modified xsi:type="dcterms:W3CDTF">2016-08-30T18:16:00Z</dcterms:modified>
</cp:coreProperties>
</file>